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6D48" w14:textId="56F21372" w:rsidR="007C155B" w:rsidRDefault="007C155B" w:rsidP="007C155B">
      <w:pPr>
        <w:spacing w:before="0" w:after="0" w:line="240" w:lineRule="auto"/>
        <w:jc w:val="right"/>
        <w:rPr>
          <w:rFonts w:ascii="Times New Roman" w:hAnsi="Times New Roman" w:cs="Times New Roman"/>
          <w:b/>
          <w:smallCaps/>
          <w:color w:val="000000"/>
          <w:spacing w:val="-3"/>
          <w:sz w:val="28"/>
          <w:szCs w:val="32"/>
        </w:rPr>
      </w:pPr>
      <w:r w:rsidRPr="00442C49">
        <w:rPr>
          <w:rFonts w:ascii="Times New Roman" w:hAnsi="Times New Roman" w:cs="Times New Roman"/>
          <w:i/>
          <w:iCs/>
          <w:sz w:val="22"/>
        </w:rPr>
        <w:t>IGI</w:t>
      </w:r>
      <w:r>
        <w:rPr>
          <w:rFonts w:ascii="Times New Roman" w:hAnsi="Times New Roman" w:cs="Times New Roman"/>
          <w:sz w:val="22"/>
        </w:rPr>
        <w:t xml:space="preserve"> </w:t>
      </w:r>
      <w:r w:rsidRPr="00442C49">
        <w:rPr>
          <w:rFonts w:ascii="Times New Roman" w:hAnsi="Times New Roman" w:cs="Times New Roman"/>
          <w:i/>
          <w:iCs/>
          <w:sz w:val="22"/>
        </w:rPr>
        <w:t>Adatvédelmi és adatkezelési szabályzat</w:t>
      </w:r>
      <w:r>
        <w:rPr>
          <w:rFonts w:ascii="Times New Roman" w:hAnsi="Times New Roman" w:cs="Times New Roman"/>
          <w:i/>
          <w:iCs/>
          <w:sz w:val="22"/>
        </w:rPr>
        <w:t xml:space="preserve"> 9</w:t>
      </w:r>
      <w:r w:rsidRPr="00442C49">
        <w:rPr>
          <w:rFonts w:ascii="Times New Roman" w:hAnsi="Times New Roman" w:cs="Times New Roman"/>
          <w:i/>
          <w:iCs/>
          <w:sz w:val="22"/>
        </w:rPr>
        <w:t>.sz. melléklet</w:t>
      </w:r>
    </w:p>
    <w:p w14:paraId="4FCE3AB6" w14:textId="65601FE4" w:rsidR="002D7678" w:rsidRPr="00621909" w:rsidRDefault="00232A4F" w:rsidP="002D7678">
      <w:pPr>
        <w:spacing w:after="100" w:line="240" w:lineRule="auto"/>
        <w:jc w:val="center"/>
        <w:rPr>
          <w:rFonts w:ascii="Times New Roman" w:hAnsi="Times New Roman" w:cs="Times New Roman"/>
          <w:b/>
          <w:smallCaps/>
          <w:color w:val="000000"/>
          <w:spacing w:val="-3"/>
          <w:sz w:val="28"/>
          <w:szCs w:val="32"/>
        </w:rPr>
      </w:pPr>
      <w:r w:rsidRPr="00621909">
        <w:rPr>
          <w:rFonts w:ascii="Times New Roman" w:hAnsi="Times New Roman" w:cs="Times New Roman"/>
          <w:b/>
          <w:smallCaps/>
          <w:color w:val="000000"/>
          <w:spacing w:val="-3"/>
          <w:sz w:val="28"/>
          <w:szCs w:val="32"/>
        </w:rPr>
        <w:t>Adatvédelmi tájékoztató</w:t>
      </w:r>
    </w:p>
    <w:p w14:paraId="35AF27D8" w14:textId="31F3BD6D" w:rsidR="00232A4F" w:rsidRPr="00621909" w:rsidRDefault="00CF5AF0" w:rsidP="002D7678">
      <w:pPr>
        <w:spacing w:after="100" w:line="240" w:lineRule="auto"/>
        <w:jc w:val="center"/>
        <w:rPr>
          <w:rFonts w:ascii="Times New Roman" w:hAnsi="Times New Roman" w:cs="Times New Roman"/>
          <w:b/>
          <w:smallCaps/>
          <w:color w:val="000000"/>
          <w:spacing w:val="-3"/>
          <w:szCs w:val="22"/>
        </w:rPr>
      </w:pPr>
      <w:r w:rsidRPr="00621909">
        <w:rPr>
          <w:rFonts w:ascii="Times New Roman" w:hAnsi="Times New Roman" w:cs="Times New Roman"/>
          <w:b/>
          <w:smallCaps/>
          <w:color w:val="000000"/>
          <w:spacing w:val="-3"/>
          <w:szCs w:val="22"/>
        </w:rPr>
        <w:t xml:space="preserve">Az iskolai közétkeztetés térítési díjainak megállapításához és beszedéséhez </w:t>
      </w:r>
      <w:r w:rsidR="00232A4F" w:rsidRPr="00621909">
        <w:rPr>
          <w:rFonts w:ascii="Times New Roman" w:hAnsi="Times New Roman" w:cs="Times New Roman"/>
          <w:b/>
          <w:smallCaps/>
          <w:color w:val="000000"/>
          <w:spacing w:val="-3"/>
          <w:szCs w:val="22"/>
        </w:rPr>
        <w:t>kapcsolódó adatkezelésről</w:t>
      </w:r>
    </w:p>
    <w:p w14:paraId="1B984723" w14:textId="4A6595C0" w:rsidR="00232A4F" w:rsidRPr="00621909" w:rsidRDefault="00232A4F" w:rsidP="00E1378C">
      <w:pPr>
        <w:pStyle w:val="Textbody"/>
        <w:tabs>
          <w:tab w:val="left" w:pos="7764"/>
        </w:tabs>
        <w:spacing w:beforeAutospacing="1" w:after="100" w:afterAutospacing="1" w:line="240" w:lineRule="auto"/>
        <w:jc w:val="both"/>
        <w:rPr>
          <w:rStyle w:val="Knyvcme"/>
          <w:rFonts w:ascii="Times New Roman" w:hAnsi="Times New Roman" w:cs="Times New Roman"/>
          <w:b w:val="0"/>
          <w:bCs w:val="0"/>
          <w:i w:val="0"/>
          <w:iCs w:val="0"/>
        </w:rPr>
      </w:pPr>
      <w:r w:rsidRPr="00621909">
        <w:rPr>
          <w:rStyle w:val="Knyvcme"/>
          <w:rFonts w:ascii="Times New Roman" w:hAnsi="Times New Roman" w:cs="Times New Roman"/>
        </w:rPr>
        <w:t xml:space="preserve">A </w:t>
      </w:r>
      <w:r w:rsidR="00CF5AF0" w:rsidRPr="00621909">
        <w:rPr>
          <w:rStyle w:val="Knyvcme"/>
          <w:rFonts w:ascii="Times New Roman" w:hAnsi="Times New Roman" w:cs="Times New Roman"/>
        </w:rPr>
        <w:t xml:space="preserve">Budafok-Tétény Budapest XXII. kerület Önkormányzat Intézmények Gazdasági Irodája </w:t>
      </w:r>
      <w:r w:rsidRPr="00621909">
        <w:rPr>
          <w:rStyle w:val="Knyvcme"/>
          <w:rFonts w:ascii="Times New Roman" w:hAnsi="Times New Roman" w:cs="Times New Roman"/>
        </w:rPr>
        <w:t xml:space="preserve">kiemelten fontosnak tartja közalkalmazottjai, munkavállalói, látogatói, ügyfelei, szerződéses partnerei információs önrendelkezési jogának tiszteletben tartását, így a személyes adatok védelmére komoly hangsúlyt helyez. Minderre tekintettel kötelezettséget vállal arra, hogy a személyes adatokat bizalmasan, célhoz kötötten, az adatvédelmi előírásoknak és a jogszabályoknak – különösen a 2018. május 25. napjától az Európai Parlament és a Tanács a természetes személyeknek a személyes adatok kezelése tekintetében történő védelméről és az ilyen adatok szabad áramlásáról szóló 2016/679 rendeletében („Általános Adatvédelmi Rendelet” vagy „GDPR”), valamint </w:t>
      </w:r>
      <w:r w:rsidRPr="00621909">
        <w:rPr>
          <w:rFonts w:ascii="Times New Roman" w:hAnsi="Times New Roman" w:cs="Times New Roman"/>
          <w:bCs/>
          <w:i/>
          <w:iCs/>
        </w:rPr>
        <w:t xml:space="preserve">az információs önrendelkezési jogról és az információszabadságról szóló 2011. évi CXII. törvény („Infotv.”) – </w:t>
      </w:r>
      <w:r w:rsidRPr="00621909">
        <w:rPr>
          <w:rStyle w:val="Knyvcme"/>
          <w:rFonts w:ascii="Times New Roman" w:hAnsi="Times New Roman" w:cs="Times New Roman"/>
        </w:rPr>
        <w:t>teljes mértékben megfelelve, tisztességes módon kezeli.</w:t>
      </w:r>
    </w:p>
    <w:p w14:paraId="2D515203" w14:textId="34EC6C45" w:rsidR="00B05372" w:rsidRPr="00621909" w:rsidRDefault="00B05372" w:rsidP="00E1378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21909">
        <w:rPr>
          <w:rFonts w:ascii="Times New Roman" w:eastAsia="Calibri" w:hAnsi="Times New Roman" w:cs="Times New Roman"/>
          <w:b/>
        </w:rPr>
        <w:t xml:space="preserve">Adatkezelő: </w:t>
      </w:r>
      <w:r w:rsidR="00CF5AF0" w:rsidRPr="00621909">
        <w:rPr>
          <w:rStyle w:val="Knyvcme"/>
          <w:rFonts w:ascii="Times New Roman" w:hAnsi="Times New Roman" w:cs="Times New Roman"/>
          <w:b w:val="0"/>
          <w:i w:val="0"/>
        </w:rPr>
        <w:t>Budafok-Tétény Budapest XXII. kerületi Önkormányzat Intézmények Gazdasági Irodája</w:t>
      </w:r>
      <w:r w:rsidR="00CF5AF0" w:rsidRPr="00621909">
        <w:rPr>
          <w:rStyle w:val="Knyvcme"/>
          <w:rFonts w:ascii="Times New Roman" w:hAnsi="Times New Roman" w:cs="Times New Roman"/>
        </w:rPr>
        <w:t xml:space="preserve"> </w:t>
      </w:r>
      <w:r w:rsidRPr="00621909">
        <w:rPr>
          <w:rFonts w:ascii="Times New Roman" w:hAnsi="Times New Roman" w:cs="Times New Roman"/>
        </w:rPr>
        <w:t>(</w:t>
      </w:r>
      <w:r w:rsidR="00CF5AF0" w:rsidRPr="00621909">
        <w:rPr>
          <w:rFonts w:ascii="Times New Roman" w:hAnsi="Times New Roman" w:cs="Times New Roman"/>
        </w:rPr>
        <w:t>1225 Budapest Nagytétényi u. 274-276</w:t>
      </w:r>
      <w:r w:rsidRPr="00621909">
        <w:rPr>
          <w:rFonts w:ascii="Times New Roman" w:hAnsi="Times New Roman" w:cs="Times New Roman"/>
        </w:rPr>
        <w:t>.)</w:t>
      </w:r>
    </w:p>
    <w:p w14:paraId="23C417E8" w14:textId="77777777" w:rsidR="00B05372" w:rsidRPr="00621909" w:rsidRDefault="00B05372" w:rsidP="00E1378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21909">
        <w:rPr>
          <w:rFonts w:ascii="Times New Roman" w:hAnsi="Times New Roman" w:cs="Times New Roman"/>
          <w:b/>
        </w:rPr>
        <w:t>Adatvédelmi tisztviselő</w:t>
      </w:r>
      <w:r w:rsidRPr="00621909">
        <w:rPr>
          <w:rFonts w:ascii="Times New Roman" w:hAnsi="Times New Roman" w:cs="Times New Roman"/>
        </w:rPr>
        <w:t>: KOREND Kft. / Kozma Lívia (2800 Tatabánya, Mártírok útja 12. kozma.livia@korend.hu)</w:t>
      </w:r>
    </w:p>
    <w:p w14:paraId="34D5D874" w14:textId="068236FF" w:rsidR="00232A4F" w:rsidRPr="00621909" w:rsidRDefault="00232A4F" w:rsidP="00E1378C">
      <w:pPr>
        <w:pStyle w:val="Szvegtrzs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1909">
        <w:rPr>
          <w:rFonts w:ascii="Times New Roman" w:hAnsi="Times New Roman" w:cs="Times New Roman"/>
          <w:b/>
          <w:sz w:val="20"/>
          <w:szCs w:val="20"/>
        </w:rPr>
        <w:t xml:space="preserve">Az adatkezelés </w:t>
      </w:r>
      <w:r w:rsidR="0090397A" w:rsidRPr="00621909"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Pr="00621909">
        <w:rPr>
          <w:rFonts w:ascii="Times New Roman" w:hAnsi="Times New Roman" w:cs="Times New Roman"/>
          <w:b/>
          <w:sz w:val="20"/>
          <w:szCs w:val="20"/>
        </w:rPr>
        <w:t>célja</w:t>
      </w:r>
      <w:r w:rsidR="00CF5AF0" w:rsidRPr="00621909">
        <w:rPr>
          <w:rFonts w:ascii="Times New Roman" w:hAnsi="Times New Roman" w:cs="Times New Roman"/>
          <w:sz w:val="20"/>
          <w:szCs w:val="20"/>
        </w:rPr>
        <w:t>: Az Intézmény ellátási területéhez tartozó oktatási intézmények tanulói részére az étkezési térítési díjak, valamint ezen díjakra</w:t>
      </w:r>
      <w:r w:rsidR="00A57383" w:rsidRPr="00621909">
        <w:rPr>
          <w:rFonts w:ascii="Times New Roman" w:hAnsi="Times New Roman" w:cs="Times New Roman"/>
          <w:sz w:val="20"/>
          <w:szCs w:val="20"/>
        </w:rPr>
        <w:t xml:space="preserve"> vonatkozóan</w:t>
      </w:r>
      <w:r w:rsidR="00CF5AF0" w:rsidRPr="00621909">
        <w:rPr>
          <w:rFonts w:ascii="Times New Roman" w:hAnsi="Times New Roman" w:cs="Times New Roman"/>
          <w:sz w:val="20"/>
          <w:szCs w:val="20"/>
        </w:rPr>
        <w:t xml:space="preserve"> figyelembe vett kedvezmények </w:t>
      </w:r>
      <w:r w:rsidR="00A57383" w:rsidRPr="00621909">
        <w:rPr>
          <w:rFonts w:ascii="Times New Roman" w:hAnsi="Times New Roman" w:cs="Times New Roman"/>
          <w:sz w:val="20"/>
          <w:szCs w:val="20"/>
        </w:rPr>
        <w:t>megállapítása, valamint beszedése.</w:t>
      </w:r>
    </w:p>
    <w:p w14:paraId="0ADDA453" w14:textId="77777777" w:rsidR="0090397A" w:rsidRPr="00621909" w:rsidRDefault="0090397A" w:rsidP="00E1378C">
      <w:pPr>
        <w:pStyle w:val="Szvegtrzs"/>
        <w:tabs>
          <w:tab w:val="left" w:pos="2115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1909">
        <w:rPr>
          <w:rFonts w:ascii="Times New Roman" w:hAnsi="Times New Roman" w:cs="Times New Roman"/>
          <w:b/>
          <w:sz w:val="20"/>
          <w:szCs w:val="20"/>
        </w:rPr>
        <w:t>Adatbiztonság</w:t>
      </w:r>
      <w:r w:rsidRPr="00621909">
        <w:rPr>
          <w:rFonts w:ascii="Times New Roman" w:hAnsi="Times New Roman" w:cs="Times New Roman"/>
          <w:sz w:val="20"/>
          <w:szCs w:val="20"/>
        </w:rPr>
        <w:t xml:space="preserve">: Adatkezelő minden tőle elvárható szükséges intézkedést megtesz az adatok (különös tekintettel a gyermekek személyes adatai, valamint az egyéb érzékeny adatok) biztonságos tárolása érdekében, gondoskodik azok megfelelő szintű védelméről különösen a jogosulatlan hozzáférés, megváltoztatás, továbbítás, nyilvánosságra hozatal, törlés vagy megsemmisítés, valamint a véletlen megsemmisülés és sérülés ellen. </w:t>
      </w:r>
    </w:p>
    <w:p w14:paraId="73F5B0E2" w14:textId="20C10720" w:rsidR="00B05372" w:rsidRPr="00621909" w:rsidRDefault="00B05372" w:rsidP="00E1378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21909">
        <w:rPr>
          <w:rFonts w:ascii="Times New Roman" w:hAnsi="Times New Roman" w:cs="Times New Roman"/>
          <w:b/>
        </w:rPr>
        <w:t>Adattovábbítás harmadik személynek, illetve harmadik országba</w:t>
      </w:r>
      <w:r w:rsidRPr="00621909">
        <w:rPr>
          <w:rFonts w:ascii="Times New Roman" w:hAnsi="Times New Roman" w:cs="Times New Roman"/>
        </w:rPr>
        <w:t>:</w:t>
      </w:r>
      <w:r w:rsidR="00A57383" w:rsidRPr="00621909">
        <w:rPr>
          <w:rFonts w:ascii="Times New Roman" w:hAnsi="Times New Roman" w:cs="Times New Roman"/>
        </w:rPr>
        <w:t xml:space="preserve"> Az érintett személyes adatai </w:t>
      </w:r>
      <w:r w:rsidRPr="00621909">
        <w:rPr>
          <w:rFonts w:ascii="Times New Roman" w:hAnsi="Times New Roman" w:cs="Times New Roman"/>
        </w:rPr>
        <w:t>az illetékes hatságok, illetve az ellenőrzést végző szervek felé továbbításra kerülnek Adattovábbítás ezen felül kizárólag a törvényben meg</w:t>
      </w:r>
      <w:r w:rsidR="00A57383" w:rsidRPr="00621909">
        <w:rPr>
          <w:rFonts w:ascii="Times New Roman" w:hAnsi="Times New Roman" w:cs="Times New Roman"/>
        </w:rPr>
        <w:t>határozott esetben történik</w:t>
      </w:r>
      <w:r w:rsidRPr="00621909">
        <w:rPr>
          <w:rFonts w:ascii="Times New Roman" w:hAnsi="Times New Roman" w:cs="Times New Roman"/>
        </w:rPr>
        <w:t>. Harmadik országba adattovábbítás nem történik.</w:t>
      </w:r>
    </w:p>
    <w:p w14:paraId="20942267" w14:textId="19568340" w:rsidR="005D4725" w:rsidRPr="00621909" w:rsidRDefault="005D4725" w:rsidP="00E1378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21909">
        <w:rPr>
          <w:rFonts w:ascii="Times New Roman" w:hAnsi="Times New Roman" w:cs="Times New Roman"/>
          <w:b/>
        </w:rPr>
        <w:t>Adatkezelés ideje</w:t>
      </w:r>
      <w:r w:rsidRPr="00621909">
        <w:rPr>
          <w:rFonts w:ascii="Times New Roman" w:hAnsi="Times New Roman" w:cs="Times New Roman"/>
        </w:rPr>
        <w:t>: a köznevelési jogviszony végéig, illetve számviteli bizonylat részeként megjelenő személyes adatok tekintetében a jogszabályban előírt kötelező őrzési idő végéig. Hozzájárulás alapján kezelt személyes adatokat a jogviszony megsz</w:t>
      </w:r>
      <w:r w:rsidR="00D02E8B">
        <w:rPr>
          <w:rFonts w:ascii="Times New Roman" w:hAnsi="Times New Roman" w:cs="Times New Roman"/>
        </w:rPr>
        <w:t>ű</w:t>
      </w:r>
      <w:r w:rsidRPr="00621909">
        <w:rPr>
          <w:rFonts w:ascii="Times New Roman" w:hAnsi="Times New Roman" w:cs="Times New Roman"/>
        </w:rPr>
        <w:t>néséig, illetve a hozzájárulás visszavonásáig kezeljük.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2551"/>
      </w:tblGrid>
      <w:tr w:rsidR="00A57383" w:rsidRPr="00621909" w14:paraId="73D34EDF" w14:textId="4EF4365B" w:rsidTr="00621909">
        <w:tc>
          <w:tcPr>
            <w:tcW w:w="1843" w:type="dxa"/>
          </w:tcPr>
          <w:p w14:paraId="2BB15D20" w14:textId="77777777" w:rsidR="00A57383" w:rsidRPr="00621909" w:rsidRDefault="00A57383" w:rsidP="00E1378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b/>
                <w:color w:val="000000"/>
                <w:spacing w:val="-3"/>
              </w:rPr>
              <w:t>Az adatkezelés megnevezése</w:t>
            </w:r>
          </w:p>
        </w:tc>
        <w:tc>
          <w:tcPr>
            <w:tcW w:w="1843" w:type="dxa"/>
          </w:tcPr>
          <w:p w14:paraId="4E4E677F" w14:textId="77777777" w:rsidR="00A57383" w:rsidRPr="00621909" w:rsidRDefault="00A57383" w:rsidP="00E1378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b/>
                <w:color w:val="000000"/>
                <w:spacing w:val="-3"/>
              </w:rPr>
              <w:t>Adatkezelés célja</w:t>
            </w:r>
          </w:p>
        </w:tc>
        <w:tc>
          <w:tcPr>
            <w:tcW w:w="2693" w:type="dxa"/>
          </w:tcPr>
          <w:p w14:paraId="30E548EE" w14:textId="77777777" w:rsidR="00A57383" w:rsidRPr="00621909" w:rsidRDefault="00A57383" w:rsidP="00E1378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b/>
                <w:color w:val="000000"/>
                <w:spacing w:val="-3"/>
              </w:rPr>
              <w:t>Kezelt adatok köre</w:t>
            </w:r>
          </w:p>
        </w:tc>
        <w:tc>
          <w:tcPr>
            <w:tcW w:w="2551" w:type="dxa"/>
          </w:tcPr>
          <w:p w14:paraId="09D61608" w14:textId="5E36BDD9" w:rsidR="00A57383" w:rsidRPr="00621909" w:rsidRDefault="00A57383" w:rsidP="00E1378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b/>
                <w:color w:val="000000"/>
                <w:spacing w:val="-3"/>
              </w:rPr>
              <w:t>Adatkezelés jogalapja</w:t>
            </w:r>
          </w:p>
        </w:tc>
      </w:tr>
      <w:tr w:rsidR="00A57383" w:rsidRPr="00621909" w14:paraId="006CA55D" w14:textId="7517E3A1" w:rsidTr="00621909">
        <w:tc>
          <w:tcPr>
            <w:tcW w:w="1843" w:type="dxa"/>
          </w:tcPr>
          <w:p w14:paraId="0C85B381" w14:textId="7E9B024A" w:rsidR="00A57383" w:rsidRPr="00621909" w:rsidRDefault="00A57383" w:rsidP="00E1378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Nyilatkozat étkezés igénybevételéről</w:t>
            </w:r>
          </w:p>
        </w:tc>
        <w:tc>
          <w:tcPr>
            <w:tcW w:w="1843" w:type="dxa"/>
          </w:tcPr>
          <w:p w14:paraId="00442453" w14:textId="72A0212C" w:rsidR="00A57383" w:rsidRPr="00621909" w:rsidRDefault="00A57383" w:rsidP="00A57383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Az iskolai étkezés igénybevételének nyilvántartása</w:t>
            </w:r>
          </w:p>
        </w:tc>
        <w:tc>
          <w:tcPr>
            <w:tcW w:w="2693" w:type="dxa"/>
          </w:tcPr>
          <w:p w14:paraId="51322A11" w14:textId="46179511" w:rsidR="00A57383" w:rsidRPr="00621909" w:rsidRDefault="00A57383" w:rsidP="00A57383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Gyermek neve, iskola, osztály megnevezése, szülő/gondviselő neve, aláírása</w:t>
            </w:r>
          </w:p>
        </w:tc>
        <w:tc>
          <w:tcPr>
            <w:tcW w:w="2551" w:type="dxa"/>
          </w:tcPr>
          <w:p w14:paraId="30849691" w14:textId="2C51EE7B" w:rsidR="00A57383" w:rsidRPr="00621909" w:rsidRDefault="00A57383" w:rsidP="00A57383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A GDPR 6. cikk (1) bekezdés a) pontja alapján a szülő/törvényes képviselő önkéntes hozzájárulása</w:t>
            </w:r>
          </w:p>
        </w:tc>
      </w:tr>
      <w:tr w:rsidR="00A57383" w:rsidRPr="00621909" w14:paraId="58A81501" w14:textId="699114E9" w:rsidTr="00621909">
        <w:tc>
          <w:tcPr>
            <w:tcW w:w="1843" w:type="dxa"/>
          </w:tcPr>
          <w:p w14:paraId="631089EB" w14:textId="1A440FBB" w:rsidR="00A57383" w:rsidRPr="00621909" w:rsidRDefault="00A57383" w:rsidP="00A57383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Nyilatkozat normatív kedvezmények igénybevételéhez iskolai nevelés esetén</w:t>
            </w:r>
          </w:p>
        </w:tc>
        <w:tc>
          <w:tcPr>
            <w:tcW w:w="1843" w:type="dxa"/>
          </w:tcPr>
          <w:p w14:paraId="0C87F1DD" w14:textId="6E1147C8" w:rsidR="00A57383" w:rsidRPr="00621909" w:rsidRDefault="005D4725" w:rsidP="00E1378C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Az étkezés során igénybe vehető normatív kedvezmény megállapítása</w:t>
            </w:r>
          </w:p>
        </w:tc>
        <w:tc>
          <w:tcPr>
            <w:tcW w:w="2693" w:type="dxa"/>
          </w:tcPr>
          <w:p w14:paraId="7BECB643" w14:textId="77777777" w:rsidR="00A57383" w:rsidRPr="00621909" w:rsidRDefault="005D4725" w:rsidP="00C50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>Szülő/gondviselő: neve, születési neve, születési helye és ideje, anyja neve, valamint lakcíme</w:t>
            </w:r>
          </w:p>
          <w:p w14:paraId="635251B8" w14:textId="77777777" w:rsidR="005D4725" w:rsidRPr="007062E8" w:rsidRDefault="005D4725" w:rsidP="00C50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 xml:space="preserve">Gyermek: neve, születési helye </w:t>
            </w:r>
            <w:r w:rsidRPr="007062E8">
              <w:rPr>
                <w:rFonts w:ascii="Times New Roman" w:hAnsi="Times New Roman" w:cs="Times New Roman"/>
                <w:color w:val="000000"/>
                <w:spacing w:val="-3"/>
              </w:rPr>
              <w:t>és ideje</w:t>
            </w:r>
            <w:r w:rsidR="00621909" w:rsidRPr="007062E8">
              <w:rPr>
                <w:rFonts w:ascii="Times New Roman" w:hAnsi="Times New Roman" w:cs="Times New Roman"/>
                <w:color w:val="000000"/>
                <w:spacing w:val="-3"/>
              </w:rPr>
              <w:t>, anyja neve</w:t>
            </w:r>
          </w:p>
          <w:p w14:paraId="56566308" w14:textId="3A9DA522" w:rsidR="00621909" w:rsidRPr="00621909" w:rsidRDefault="00621909" w:rsidP="00C50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062E8">
              <w:rPr>
                <w:rFonts w:ascii="Times New Roman" w:hAnsi="Times New Roman" w:cs="Times New Roman"/>
                <w:color w:val="000000"/>
                <w:spacing w:val="-3"/>
              </w:rPr>
              <w:t>A kedvezmény igénybevételére jogosító</w:t>
            </w:r>
            <w:r w:rsidR="00C50D7D" w:rsidRPr="007062E8">
              <w:rPr>
                <w:rFonts w:ascii="Times New Roman" w:hAnsi="Times New Roman" w:cs="Times New Roman"/>
                <w:color w:val="000000"/>
                <w:spacing w:val="-3"/>
              </w:rPr>
              <w:t xml:space="preserve"> adatok,</w:t>
            </w:r>
            <w:r w:rsidRPr="007062E8">
              <w:rPr>
                <w:rFonts w:ascii="Times New Roman" w:hAnsi="Times New Roman" w:cs="Times New Roman"/>
                <w:color w:val="000000"/>
                <w:spacing w:val="-3"/>
              </w:rPr>
              <w:t xml:space="preserve"> jogcím</w:t>
            </w:r>
            <w:r w:rsidRPr="0062190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2551" w:type="dxa"/>
          </w:tcPr>
          <w:p w14:paraId="45C53844" w14:textId="7B0F8589" w:rsidR="00C50D7D" w:rsidRPr="007062E8" w:rsidRDefault="00A57383" w:rsidP="00621909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062E8">
              <w:rPr>
                <w:rFonts w:ascii="Times New Roman" w:hAnsi="Times New Roman" w:cs="Times New Roman"/>
                <w:color w:val="000000"/>
                <w:spacing w:val="-3"/>
              </w:rPr>
              <w:t xml:space="preserve">A GDPR 6. cikk (1) bekezdés </w:t>
            </w:r>
            <w:r w:rsidR="00C50D7D" w:rsidRPr="007062E8">
              <w:rPr>
                <w:rFonts w:ascii="Times New Roman" w:hAnsi="Times New Roman" w:cs="Times New Roman"/>
                <w:color w:val="000000"/>
                <w:spacing w:val="-3"/>
              </w:rPr>
              <w:t>e</w:t>
            </w:r>
            <w:r w:rsidRPr="007062E8">
              <w:rPr>
                <w:rFonts w:ascii="Times New Roman" w:hAnsi="Times New Roman" w:cs="Times New Roman"/>
                <w:color w:val="000000"/>
                <w:spacing w:val="-3"/>
              </w:rPr>
              <w:t xml:space="preserve">) pontja az adatkezelő </w:t>
            </w:r>
            <w:r w:rsidR="00C50D7D" w:rsidRPr="007062E8">
              <w:rPr>
                <w:rFonts w:ascii="Times New Roman" w:hAnsi="Times New Roman" w:cs="Times New Roman"/>
                <w:color w:val="000000"/>
                <w:spacing w:val="-3"/>
              </w:rPr>
              <w:t>közfeladatának ellátásához szükséges.</w:t>
            </w:r>
          </w:p>
          <w:p w14:paraId="06DB55FA" w14:textId="78894912" w:rsidR="00621909" w:rsidRPr="007062E8" w:rsidRDefault="00621909" w:rsidP="0062190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7062E8">
              <w:rPr>
                <w:rFonts w:ascii="Times New Roman" w:hAnsi="Times New Roman"/>
              </w:rPr>
              <w:t>A gyermekek védelméről és a gyámügyi igazgatásról szóló 1997.évi XXXI. Gyermekvédelmi Tv.</w:t>
            </w:r>
          </w:p>
          <w:p w14:paraId="7DDC1F7C" w14:textId="2AB4E693" w:rsidR="008A3F45" w:rsidRPr="007062E8" w:rsidRDefault="008A3F45" w:rsidP="00621909">
            <w:pPr>
              <w:spacing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062E8">
              <w:rPr>
                <w:rFonts w:ascii="Times New Roman" w:hAnsi="Times New Roman" w:cs="Times New Roman"/>
                <w:color w:val="000000"/>
                <w:spacing w:val="-3"/>
              </w:rPr>
              <w:t>2000. évi C tv. a számvitelről</w:t>
            </w:r>
          </w:p>
        </w:tc>
      </w:tr>
    </w:tbl>
    <w:p w14:paraId="6B953CCD" w14:textId="57B6A8E6" w:rsidR="005D4DB7" w:rsidRPr="00621909" w:rsidRDefault="005D4DB7" w:rsidP="00E1378C">
      <w:pPr>
        <w:spacing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  <w:b/>
          <w:u w:val="single"/>
        </w:rPr>
        <w:lastRenderedPageBreak/>
        <w:t>Jogorvoslati lehetőségek:</w:t>
      </w:r>
      <w:r w:rsidRPr="00621909">
        <w:rPr>
          <w:rFonts w:ascii="Times New Roman" w:eastAsia="Calibri" w:hAnsi="Times New Roman" w:cs="Times New Roman"/>
        </w:rPr>
        <w:t xml:space="preserve"> az érintettek az adatkezelés teljes időtartama alatt élhetnek a GDPR-b</w:t>
      </w:r>
      <w:r w:rsidR="0095591E" w:rsidRPr="00621909">
        <w:rPr>
          <w:rFonts w:ascii="Times New Roman" w:eastAsia="Calibri" w:hAnsi="Times New Roman" w:cs="Times New Roman"/>
        </w:rPr>
        <w:t>a</w:t>
      </w:r>
      <w:r w:rsidRPr="00621909">
        <w:rPr>
          <w:rFonts w:ascii="Times New Roman" w:eastAsia="Calibri" w:hAnsi="Times New Roman" w:cs="Times New Roman"/>
        </w:rPr>
        <w:t>n biztosított jogaikkal, úgymint</w:t>
      </w:r>
    </w:p>
    <w:p w14:paraId="574A6F05" w14:textId="235DACD4" w:rsidR="005D4DB7" w:rsidRPr="00621909" w:rsidRDefault="005D4DB7" w:rsidP="00E1378C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Tájékoztatás és a személyes adatokhoz való hozzáférés joga: érintett jogosult a jelen tájékoztatón felül bővebb tájékoztatást kérni az adatkezelőtől a személyes adatai kezeléséről (GDPR 15. cikk)</w:t>
      </w:r>
    </w:p>
    <w:p w14:paraId="5BBC0799" w14:textId="1A097D43" w:rsidR="005D4DB7" w:rsidRPr="00621909" w:rsidRDefault="005D4DB7" w:rsidP="00E1378C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 xml:space="preserve">Helyesbítéshez való jog: Az érintett jogosult arra, hogy a rá vonatkozó pontatlan adatokat az adatkezelő </w:t>
      </w:r>
      <w:r w:rsidR="0095591E" w:rsidRPr="00621909">
        <w:rPr>
          <w:rFonts w:ascii="Times New Roman" w:eastAsia="Calibri" w:hAnsi="Times New Roman" w:cs="Times New Roman"/>
        </w:rPr>
        <w:t xml:space="preserve">- </w:t>
      </w:r>
      <w:r w:rsidRPr="00621909">
        <w:rPr>
          <w:rFonts w:ascii="Times New Roman" w:eastAsia="Calibri" w:hAnsi="Times New Roman" w:cs="Times New Roman"/>
        </w:rPr>
        <w:t>az érintett jelzésére</w:t>
      </w:r>
      <w:r w:rsidR="0095591E" w:rsidRPr="00621909">
        <w:rPr>
          <w:rFonts w:ascii="Times New Roman" w:eastAsia="Calibri" w:hAnsi="Times New Roman" w:cs="Times New Roman"/>
        </w:rPr>
        <w:t xml:space="preserve"> – késedelem nélkül</w:t>
      </w:r>
      <w:r w:rsidRPr="00621909">
        <w:rPr>
          <w:rFonts w:ascii="Times New Roman" w:eastAsia="Calibri" w:hAnsi="Times New Roman" w:cs="Times New Roman"/>
        </w:rPr>
        <w:t xml:space="preserve"> helyesbítse (GDPR 16.cikk)</w:t>
      </w:r>
    </w:p>
    <w:p w14:paraId="33BC8DCE" w14:textId="131B44E5" w:rsidR="00826432" w:rsidRPr="00621909" w:rsidRDefault="005D4DB7" w:rsidP="00E1378C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 xml:space="preserve">Törléshez való jog: Az érintett hozzájárulása alapján kezelt személyes adatok vonatkozásában kérheti a személyes adatai törlését, amennyiben a GDPR 17. cikkében megfogalmazott </w:t>
      </w:r>
      <w:r w:rsidR="00826432" w:rsidRPr="00621909">
        <w:rPr>
          <w:rFonts w:ascii="Times New Roman" w:eastAsia="Calibri" w:hAnsi="Times New Roman" w:cs="Times New Roman"/>
        </w:rPr>
        <w:t xml:space="preserve">indokok valamelyike fennáll, többek között, ha: </w:t>
      </w:r>
    </w:p>
    <w:p w14:paraId="7DE6A6BB" w14:textId="77777777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 xml:space="preserve">az adatkezelés célja megszűnt, </w:t>
      </w:r>
    </w:p>
    <w:p w14:paraId="580E03EC" w14:textId="149754AA" w:rsidR="005D4DB7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érintett a hozzájárulását visszavonja</w:t>
      </w:r>
    </w:p>
    <w:p w14:paraId="0C97B3A2" w14:textId="67593D7B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adatokat jogellenesen kezelték</w:t>
      </w:r>
    </w:p>
    <w:p w14:paraId="1C0123E5" w14:textId="75AA5068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adatkezelőre alkalmazandó uniós vagy tagállami jogban előírt jogi kötelezettség teljesítéséhez törölni kell</w:t>
      </w:r>
    </w:p>
    <w:p w14:paraId="21DBA576" w14:textId="7258F82A" w:rsidR="00826432" w:rsidRPr="00621909" w:rsidRDefault="00826432" w:rsidP="00E1378C">
      <w:pPr>
        <w:pStyle w:val="Listaszerbekezds"/>
        <w:spacing w:beforeAutospacing="1" w:after="100" w:afterAutospacing="1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 törléshez való jog nem alkalmazható abban az esetben, ha az adatkezelés szükséges:</w:t>
      </w:r>
    </w:p>
    <w:p w14:paraId="0302504F" w14:textId="780200A8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 véleménynyilvánítás szabadságához és a tájékozódáshoz való jog gyakorlása céljából</w:t>
      </w:r>
    </w:p>
    <w:p w14:paraId="2EB1D9EC" w14:textId="61533DCD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adatok kezelését előíró az adatkezelőre alkalmazandó uniós vagy tagállami jog szerinti kötelezettség teljesítése, ill. közérdekből vagy az adatkezelőre ruházott közhatalmi jogosítvány gyakorlása keretében végzett feladat végrehajtása céljából</w:t>
      </w:r>
    </w:p>
    <w:p w14:paraId="7CD0622C" w14:textId="52AC415B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népegészségügy területét érintő közérdek alapján</w:t>
      </w:r>
    </w:p>
    <w:p w14:paraId="5176B937" w14:textId="766C9E7B" w:rsidR="00826432" w:rsidRPr="00621909" w:rsidRDefault="00826432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jogi igények előterjesztéséhez, érvényesítéséhez, illetve védelméhez</w:t>
      </w:r>
    </w:p>
    <w:p w14:paraId="43E5A70C" w14:textId="1E27AB1A" w:rsidR="005D4DB7" w:rsidRPr="00621909" w:rsidRDefault="005D4DB7" w:rsidP="00E1378C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Adatkezelés korlátozásához való jog</w:t>
      </w:r>
      <w:r w:rsidR="005F6C69" w:rsidRPr="00621909">
        <w:rPr>
          <w:rFonts w:ascii="Times New Roman" w:eastAsia="Calibri" w:hAnsi="Times New Roman" w:cs="Times New Roman"/>
        </w:rPr>
        <w:t xml:space="preserve"> (GDPR 18. cikk)</w:t>
      </w:r>
      <w:r w:rsidRPr="00621909">
        <w:rPr>
          <w:rFonts w:ascii="Times New Roman" w:eastAsia="Calibri" w:hAnsi="Times New Roman" w:cs="Times New Roman"/>
        </w:rPr>
        <w:t>: érintett jogosult arra, hogy kérje az adatkezelőtől a személyes ad</w:t>
      </w:r>
      <w:r w:rsidR="005F6C69" w:rsidRPr="00621909">
        <w:rPr>
          <w:rFonts w:ascii="Times New Roman" w:eastAsia="Calibri" w:hAnsi="Times New Roman" w:cs="Times New Roman"/>
        </w:rPr>
        <w:t>atai kezelésének a korlátozását, ha az alábbiak valamelyike fennáll:</w:t>
      </w:r>
    </w:p>
    <w:p w14:paraId="5669B246" w14:textId="0D824520" w:rsidR="005F6C69" w:rsidRPr="00621909" w:rsidRDefault="005F6C69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érintett vitatja az adatok pontosságát, arra az időtartamra, ameddig az adatkezelő ellenőrzi az adatok pontosságát</w:t>
      </w:r>
    </w:p>
    <w:p w14:paraId="1C29DFFA" w14:textId="4FA6C2C7" w:rsidR="005F6C69" w:rsidRPr="00621909" w:rsidRDefault="005F6C69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adatkezelés jogellenes és az érintett ellenzi az adatok törlését, ehelyett kéri azok felhasználásának korlátozását.</w:t>
      </w:r>
    </w:p>
    <w:p w14:paraId="59A2A528" w14:textId="4B8B1E90" w:rsidR="005F6C69" w:rsidRPr="00621909" w:rsidRDefault="005F6C69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az érintett jogi igénye előterjesztéséhez, érvényesítéséhez vagy védelméhez igényli</w:t>
      </w:r>
    </w:p>
    <w:p w14:paraId="33206516" w14:textId="0F36C895" w:rsidR="005F6C69" w:rsidRPr="00621909" w:rsidRDefault="005F6C69" w:rsidP="00E1378C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Adathordozhatósághoz való jog (GDPR 20. cikk): az érintett jogosult a rá vonatkozó adatokat tagolt, széles körben használt géppel olvasható formátumban az adatkezelőtől megkapni.</w:t>
      </w:r>
    </w:p>
    <w:p w14:paraId="49F3EB83" w14:textId="72DBC5A1" w:rsidR="005F6C69" w:rsidRPr="00621909" w:rsidRDefault="005F6C69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amennyiben az adatkezelés hozzájáruláson alapult és automatizált módon történik</w:t>
      </w:r>
    </w:p>
    <w:p w14:paraId="0B78A8A9" w14:textId="2EEB1876" w:rsidR="005F6C69" w:rsidRPr="00621909" w:rsidRDefault="005F6C69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nem alkalmazható abban az esetben, ha az adatkezelés közérdekű, vagy az adatkezelőre ruházott közhatalmi jogosítványai gyakorlásának keretében végzett feladat végrehajtásához szükséges.</w:t>
      </w:r>
    </w:p>
    <w:p w14:paraId="43ACCE6F" w14:textId="72F58BD8" w:rsidR="005F6C69" w:rsidRDefault="005F6C69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ezen jog nem érintheti hátrányosan mások jogait és szabadságát</w:t>
      </w:r>
    </w:p>
    <w:p w14:paraId="1A4DB705" w14:textId="77777777" w:rsidR="00C50D7D" w:rsidRPr="007062E8" w:rsidRDefault="00C50D7D" w:rsidP="00C50D7D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 xml:space="preserve">Tiltakozáshoz való jog (GDPR 21. cikk (1) </w:t>
      </w:r>
      <w:proofErr w:type="spellStart"/>
      <w:r w:rsidRPr="007062E8">
        <w:rPr>
          <w:rFonts w:ascii="Times New Roman" w:eastAsia="Calibri" w:hAnsi="Times New Roman" w:cs="Times New Roman"/>
        </w:rPr>
        <w:t>bek</w:t>
      </w:r>
      <w:proofErr w:type="spellEnd"/>
      <w:r w:rsidRPr="007062E8">
        <w:rPr>
          <w:rFonts w:ascii="Times New Roman" w:eastAsia="Calibri" w:hAnsi="Times New Roman" w:cs="Times New Roman"/>
        </w:rPr>
        <w:t>.): érintett jogosult arra, hogy a saját helyzetével kapcsolatos okból tiltakozzon a személyes adatainak a kezelése ellen, amennyiben</w:t>
      </w:r>
    </w:p>
    <w:p w14:paraId="3272FE54" w14:textId="77777777" w:rsidR="00C50D7D" w:rsidRPr="007062E8" w:rsidRDefault="00C50D7D" w:rsidP="00C50D7D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az adatkezelés az adatkezelő közfeladatának ellátásához szükséges, vagy</w:t>
      </w:r>
    </w:p>
    <w:p w14:paraId="4BB83E17" w14:textId="77777777" w:rsidR="00C50D7D" w:rsidRPr="007062E8" w:rsidRDefault="00C50D7D" w:rsidP="00C50D7D">
      <w:pPr>
        <w:pStyle w:val="Listaszerbekezds"/>
        <w:numPr>
          <w:ilvl w:val="1"/>
          <w:numId w:val="2"/>
        </w:numPr>
        <w:spacing w:before="0"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az adatkezelés az adatkezelő jogos érdekének érvényesítéséhez szükséges</w:t>
      </w:r>
    </w:p>
    <w:p w14:paraId="3BD0895D" w14:textId="7AB34DAF" w:rsidR="00C50D7D" w:rsidRPr="007062E8" w:rsidRDefault="00C50D7D" w:rsidP="00C50D7D">
      <w:pPr>
        <w:spacing w:before="0"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 xml:space="preserve">kivéve, ha az adatkezelő bizonyítja, hogy az adatkezelést olyan kényszerítő erejű jogos okok indokolják, amelyek </w:t>
      </w:r>
    </w:p>
    <w:p w14:paraId="4A328675" w14:textId="77777777" w:rsidR="00C50D7D" w:rsidRPr="007062E8" w:rsidRDefault="00C50D7D" w:rsidP="00C50D7D">
      <w:pPr>
        <w:pStyle w:val="Listaszerbekezds"/>
        <w:numPr>
          <w:ilvl w:val="1"/>
          <w:numId w:val="2"/>
        </w:numPr>
        <w:spacing w:before="0"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elsőbbséget élveznek az érintett érdekeivel, jogaival és szabadságaival szemben, illetve</w:t>
      </w:r>
    </w:p>
    <w:p w14:paraId="0F5D1B5C" w14:textId="77777777" w:rsidR="00C50D7D" w:rsidRPr="007062E8" w:rsidRDefault="00C50D7D" w:rsidP="00C50D7D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jogi igények előterjesztéséhez, érvényesítéséhez vagy védelméhez kapcsolódnak.</w:t>
      </w:r>
    </w:p>
    <w:p w14:paraId="5C464429" w14:textId="77777777" w:rsidR="005D4DB7" w:rsidRPr="007062E8" w:rsidRDefault="005D4DB7" w:rsidP="00E1378C">
      <w:pPr>
        <w:pStyle w:val="Listaszerbekezds"/>
        <w:numPr>
          <w:ilvl w:val="0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Jogorvoslati lehetőségek: érintett jogosult panaszt tenni</w:t>
      </w:r>
    </w:p>
    <w:p w14:paraId="0EB1B9B5" w14:textId="3BD4C9A4" w:rsidR="005D4DB7" w:rsidRPr="007062E8" w:rsidRDefault="005D4DB7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az adatkezelőnél:</w:t>
      </w:r>
      <w:r w:rsidRPr="007062E8">
        <w:rPr>
          <w:rFonts w:ascii="Times New Roman" w:hAnsi="Times New Roman" w:cs="Times New Roman"/>
        </w:rPr>
        <w:t xml:space="preserve"> </w:t>
      </w:r>
      <w:r w:rsidR="00621909" w:rsidRPr="007062E8">
        <w:rPr>
          <w:rStyle w:val="Knyvcme"/>
          <w:rFonts w:ascii="Times New Roman" w:hAnsi="Times New Roman" w:cs="Times New Roman"/>
          <w:b w:val="0"/>
          <w:i w:val="0"/>
        </w:rPr>
        <w:t>Budafok-Tétény Budapest XXII. kerületi Önkormányzat Intézmények Gazdasági Irodája</w:t>
      </w:r>
      <w:r w:rsidR="00621909" w:rsidRPr="007062E8">
        <w:rPr>
          <w:rStyle w:val="Knyvcme"/>
          <w:rFonts w:ascii="Times New Roman" w:hAnsi="Times New Roman" w:cs="Times New Roman"/>
        </w:rPr>
        <w:t xml:space="preserve"> </w:t>
      </w:r>
      <w:r w:rsidR="00621909" w:rsidRPr="007062E8">
        <w:rPr>
          <w:rFonts w:ascii="Times New Roman" w:hAnsi="Times New Roman" w:cs="Times New Roman"/>
        </w:rPr>
        <w:t>(1225 Budapest Nagytétényi u. 274-276.)</w:t>
      </w:r>
    </w:p>
    <w:p w14:paraId="532DFBF1" w14:textId="090DA808" w:rsidR="005D4DB7" w:rsidRPr="007062E8" w:rsidRDefault="005D4DB7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az adatkezelő adatvédelmi tisztviselőjénél:</w:t>
      </w:r>
      <w:r w:rsidRPr="007062E8">
        <w:rPr>
          <w:rFonts w:ascii="Times New Roman" w:eastAsia="Calibri" w:hAnsi="Times New Roman" w:cs="Times New Roman"/>
        </w:rPr>
        <w:tab/>
        <w:t xml:space="preserve">Korend Rendszerház Kft. / Kozma Lívia (2800 Tatabánya, Mártírok útja 12.; </w:t>
      </w:r>
      <w:r w:rsidR="0095591E" w:rsidRPr="007062E8">
        <w:rPr>
          <w:rFonts w:ascii="Times New Roman" w:eastAsia="Calibri" w:hAnsi="Times New Roman" w:cs="Times New Roman"/>
        </w:rPr>
        <w:t>email: kozma.livia@korend.hu</w:t>
      </w:r>
      <w:r w:rsidRPr="007062E8">
        <w:rPr>
          <w:rFonts w:ascii="Times New Roman" w:eastAsia="Calibri" w:hAnsi="Times New Roman" w:cs="Times New Roman"/>
        </w:rPr>
        <w:t>)</w:t>
      </w:r>
    </w:p>
    <w:p w14:paraId="26272651" w14:textId="77777777" w:rsidR="005D4DB7" w:rsidRPr="007062E8" w:rsidRDefault="005D4DB7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illetékes bírósághoz fordulhat</w:t>
      </w:r>
    </w:p>
    <w:p w14:paraId="46F5BC21" w14:textId="2616E55B" w:rsidR="005D4DB7" w:rsidRPr="00621909" w:rsidRDefault="005D4DB7" w:rsidP="00E1378C">
      <w:pPr>
        <w:pStyle w:val="Listaszerbekezds"/>
        <w:numPr>
          <w:ilvl w:val="1"/>
          <w:numId w:val="2"/>
        </w:numPr>
        <w:spacing w:beforeAutospacing="1" w:after="100" w:afterAutospacing="1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062E8">
        <w:rPr>
          <w:rFonts w:ascii="Times New Roman" w:eastAsia="Calibri" w:hAnsi="Times New Roman" w:cs="Times New Roman"/>
        </w:rPr>
        <w:t>adatvédelmi hatósági eljárást kezdeményezhet: Nemzeti Adatvédelmi és Információszabadság Hatóság – NAIH – 1</w:t>
      </w:r>
      <w:r w:rsidR="00C50D7D" w:rsidRPr="007062E8">
        <w:rPr>
          <w:rFonts w:ascii="Times New Roman" w:eastAsia="Calibri" w:hAnsi="Times New Roman" w:cs="Times New Roman"/>
        </w:rPr>
        <w:t>05</w:t>
      </w:r>
      <w:r w:rsidRPr="007062E8">
        <w:rPr>
          <w:rFonts w:ascii="Times New Roman" w:eastAsia="Calibri" w:hAnsi="Times New Roman" w:cs="Times New Roman"/>
        </w:rPr>
        <w:t xml:space="preserve">5 Budapest, </w:t>
      </w:r>
      <w:r w:rsidR="00C50D7D" w:rsidRPr="007062E8">
        <w:rPr>
          <w:rFonts w:ascii="Times New Roman" w:eastAsia="Calibri" w:hAnsi="Times New Roman" w:cs="Times New Roman"/>
        </w:rPr>
        <w:t>Falk Miksa u. 9-11., levelezési cím: 1363 Budapest, Pf.: 9.</w:t>
      </w:r>
      <w:r w:rsidRPr="007062E8">
        <w:rPr>
          <w:rFonts w:ascii="Times New Roman" w:eastAsia="Calibri" w:hAnsi="Times New Roman" w:cs="Times New Roman"/>
        </w:rPr>
        <w:t>;</w:t>
      </w:r>
      <w:r w:rsidRPr="00621909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621909">
          <w:rPr>
            <w:rStyle w:val="Hiperhivatkozs"/>
            <w:rFonts w:ascii="Times New Roman" w:eastAsia="Calibri" w:hAnsi="Times New Roman" w:cs="Times New Roman"/>
          </w:rPr>
          <w:t>www.naih.hu</w:t>
        </w:r>
      </w:hyperlink>
      <w:r w:rsidRPr="00621909">
        <w:rPr>
          <w:rFonts w:ascii="Times New Roman" w:eastAsia="Calibri" w:hAnsi="Times New Roman" w:cs="Times New Roman"/>
        </w:rPr>
        <w:t>)</w:t>
      </w:r>
    </w:p>
    <w:p w14:paraId="2D6BB50A" w14:textId="0B52D26A" w:rsidR="00E73D72" w:rsidRDefault="00621909" w:rsidP="00E1378C">
      <w:pPr>
        <w:tabs>
          <w:tab w:val="center" w:pos="7230"/>
        </w:tabs>
        <w:spacing w:before="0" w:after="0" w:line="240" w:lineRule="auto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>Budapest</w:t>
      </w:r>
      <w:r w:rsidR="00E1378C" w:rsidRPr="00621909">
        <w:rPr>
          <w:rFonts w:ascii="Times New Roman" w:eastAsia="Calibri" w:hAnsi="Times New Roman" w:cs="Times New Roman"/>
        </w:rPr>
        <w:t xml:space="preserve">, </w:t>
      </w:r>
      <w:r w:rsidR="000A2FB7">
        <w:rPr>
          <w:rFonts w:ascii="Times New Roman" w:eastAsia="Calibri" w:hAnsi="Times New Roman" w:cs="Times New Roman"/>
        </w:rPr>
        <w:t>2023. március 6.</w:t>
      </w:r>
    </w:p>
    <w:p w14:paraId="5D123F65" w14:textId="7F8A5B5C" w:rsidR="00E1378C" w:rsidRPr="00621909" w:rsidRDefault="00E1378C" w:rsidP="00E1378C">
      <w:pPr>
        <w:tabs>
          <w:tab w:val="center" w:pos="7230"/>
        </w:tabs>
        <w:spacing w:before="0" w:after="0" w:line="240" w:lineRule="auto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ab/>
      </w:r>
    </w:p>
    <w:p w14:paraId="6FE88BF7" w14:textId="31A16897" w:rsidR="00621909" w:rsidRPr="00621909" w:rsidRDefault="00621909" w:rsidP="00E1378C">
      <w:pPr>
        <w:tabs>
          <w:tab w:val="center" w:pos="7230"/>
        </w:tabs>
        <w:spacing w:before="0" w:after="0" w:line="240" w:lineRule="auto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ab/>
      </w:r>
      <w:r w:rsidR="00E73D72">
        <w:rPr>
          <w:rFonts w:ascii="Times New Roman" w:eastAsia="Calibri" w:hAnsi="Times New Roman" w:cs="Times New Roman"/>
        </w:rPr>
        <w:t>Babiczky Márta</w:t>
      </w:r>
      <w:r w:rsidR="00A5385D">
        <w:rPr>
          <w:rFonts w:ascii="Times New Roman" w:eastAsia="Calibri" w:hAnsi="Times New Roman" w:cs="Times New Roman"/>
        </w:rPr>
        <w:t xml:space="preserve"> </w:t>
      </w:r>
    </w:p>
    <w:p w14:paraId="646763CB" w14:textId="6BE7BDBE" w:rsidR="00E1378C" w:rsidRPr="00621909" w:rsidRDefault="00E1378C" w:rsidP="00E1378C">
      <w:pPr>
        <w:tabs>
          <w:tab w:val="center" w:pos="7230"/>
        </w:tabs>
        <w:spacing w:before="0" w:after="0" w:line="240" w:lineRule="auto"/>
        <w:jc w:val="both"/>
        <w:rPr>
          <w:rFonts w:ascii="Times New Roman" w:eastAsia="Calibri" w:hAnsi="Times New Roman" w:cs="Times New Roman"/>
        </w:rPr>
      </w:pPr>
      <w:r w:rsidRPr="00621909">
        <w:rPr>
          <w:rFonts w:ascii="Times New Roman" w:eastAsia="Calibri" w:hAnsi="Times New Roman" w:cs="Times New Roman"/>
        </w:rPr>
        <w:tab/>
      </w:r>
      <w:r w:rsidR="00E73D72">
        <w:rPr>
          <w:rFonts w:ascii="Times New Roman" w:eastAsia="Calibri" w:hAnsi="Times New Roman" w:cs="Times New Roman"/>
        </w:rPr>
        <w:t>IGI iroda</w:t>
      </w:r>
      <w:r w:rsidR="00621909" w:rsidRPr="00621909">
        <w:rPr>
          <w:rFonts w:ascii="Times New Roman" w:eastAsia="Calibri" w:hAnsi="Times New Roman" w:cs="Times New Roman"/>
        </w:rPr>
        <w:t>vezető</w:t>
      </w:r>
    </w:p>
    <w:sectPr w:rsidR="00E1378C" w:rsidRPr="00621909" w:rsidSect="00C50D7D">
      <w:headerReference w:type="default" r:id="rId9"/>
      <w:footerReference w:type="default" r:id="rId10"/>
      <w:pgSz w:w="11906" w:h="16838"/>
      <w:pgMar w:top="1173" w:right="1417" w:bottom="851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C933" w14:textId="77777777" w:rsidR="00F2319B" w:rsidRDefault="00F2319B" w:rsidP="00F2319B">
      <w:pPr>
        <w:spacing w:before="0" w:after="0" w:line="240" w:lineRule="auto"/>
      </w:pPr>
      <w:r>
        <w:separator/>
      </w:r>
    </w:p>
  </w:endnote>
  <w:endnote w:type="continuationSeparator" w:id="0">
    <w:p w14:paraId="0B472ACB" w14:textId="77777777" w:rsidR="00F2319B" w:rsidRDefault="00F2319B" w:rsidP="00F231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roshige A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26697"/>
      <w:docPartObj>
        <w:docPartGallery w:val="Page Numbers (Bottom of Page)"/>
        <w:docPartUnique/>
      </w:docPartObj>
    </w:sdtPr>
    <w:sdtEndPr/>
    <w:sdtContent>
      <w:p w14:paraId="063EB80C" w14:textId="0F6FFBD2" w:rsidR="0009486E" w:rsidRDefault="000948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532E" w14:textId="77777777" w:rsidR="00F2319B" w:rsidRDefault="00F2319B" w:rsidP="00F2319B">
      <w:pPr>
        <w:spacing w:before="0" w:after="0" w:line="240" w:lineRule="auto"/>
      </w:pPr>
      <w:r>
        <w:separator/>
      </w:r>
    </w:p>
  </w:footnote>
  <w:footnote w:type="continuationSeparator" w:id="0">
    <w:p w14:paraId="3EFFB1DD" w14:textId="77777777" w:rsidR="00F2319B" w:rsidRDefault="00F2319B" w:rsidP="00F231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"/>
      <w:gridCol w:w="9054"/>
    </w:tblGrid>
    <w:tr w:rsidR="00CF5AF0" w:rsidRPr="00CF5AF0" w14:paraId="2B8D9A74" w14:textId="77777777" w:rsidTr="007C155B">
      <w:trPr>
        <w:trHeight w:val="1128"/>
      </w:trPr>
      <w:tc>
        <w:tcPr>
          <w:tcW w:w="1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54D752" w14:textId="6DDC953D" w:rsidR="00CF5AF0" w:rsidRPr="007C155B" w:rsidRDefault="00CF5AF0" w:rsidP="0056208F">
          <w:pPr>
            <w:spacing w:before="0" w:after="0" w:line="240" w:lineRule="auto"/>
            <w:ind w:right="1865"/>
            <w:jc w:val="center"/>
            <w:rPr>
              <w:rFonts w:ascii="Arial" w:eastAsia="Times New Roman" w:hAnsi="Arial" w:cs="Arial"/>
              <w:noProof/>
              <w:lang w:eastAsia="hu-HU"/>
            </w:rPr>
          </w:pPr>
        </w:p>
        <w:p w14:paraId="64D531BD" w14:textId="77777777" w:rsidR="00CF5AF0" w:rsidRPr="007C155B" w:rsidRDefault="00CF5AF0" w:rsidP="0056208F">
          <w:pPr>
            <w:spacing w:before="0" w:after="0" w:line="240" w:lineRule="auto"/>
            <w:ind w:right="1865"/>
            <w:jc w:val="center"/>
            <w:rPr>
              <w:rFonts w:ascii="Arial" w:eastAsia="Times New Roman" w:hAnsi="Arial" w:cs="Arial"/>
              <w:noProof/>
              <w:lang w:eastAsia="hu-HU"/>
            </w:rPr>
          </w:pPr>
        </w:p>
        <w:p w14:paraId="61E20E67" w14:textId="77777777" w:rsidR="00CF5AF0" w:rsidRPr="007C155B" w:rsidRDefault="00CF5AF0" w:rsidP="0056208F">
          <w:pPr>
            <w:spacing w:before="0" w:after="0" w:line="240" w:lineRule="auto"/>
            <w:ind w:right="1865"/>
            <w:jc w:val="center"/>
            <w:rPr>
              <w:rFonts w:ascii="Arial" w:eastAsia="Times New Roman" w:hAnsi="Arial" w:cs="Arial"/>
              <w:noProof/>
              <w:lang w:eastAsia="hu-HU"/>
            </w:rPr>
          </w:pPr>
        </w:p>
        <w:p w14:paraId="384F7117" w14:textId="77777777" w:rsidR="00CF5AF0" w:rsidRPr="007C155B" w:rsidRDefault="00CF5AF0" w:rsidP="0056208F">
          <w:pPr>
            <w:spacing w:before="0" w:after="0" w:line="240" w:lineRule="auto"/>
            <w:ind w:right="1865"/>
            <w:jc w:val="center"/>
            <w:rPr>
              <w:rFonts w:ascii="Hiroshige ATT" w:eastAsia="Times New Roman" w:hAnsi="Hiroshige ATT" w:cs="Times New Roman"/>
              <w:b/>
              <w:lang w:eastAsia="hu-HU"/>
            </w:rPr>
          </w:pPr>
        </w:p>
      </w:tc>
      <w:tc>
        <w:tcPr>
          <w:tcW w:w="90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AB259DE" w14:textId="77777777" w:rsidR="00CF5AF0" w:rsidRPr="00D02E8B" w:rsidRDefault="00CF5AF0" w:rsidP="00CF5AF0">
          <w:pPr>
            <w:spacing w:before="0" w:after="0" w:line="240" w:lineRule="auto"/>
            <w:rPr>
              <w:rFonts w:ascii="Hiroshige ATT" w:eastAsia="Times New Roman" w:hAnsi="Hiroshige ATT" w:cs="Times New Roman"/>
              <w:b/>
              <w:i/>
              <w:sz w:val="22"/>
              <w:szCs w:val="22"/>
              <w:lang w:eastAsia="hu-HU"/>
            </w:rPr>
          </w:pPr>
          <w:r w:rsidRPr="00D02E8B">
            <w:rPr>
              <w:rFonts w:ascii="Hiroshige ATT" w:eastAsia="Times New Roman" w:hAnsi="Hiroshige ATT" w:cs="Times New Roman"/>
              <w:b/>
              <w:i/>
              <w:sz w:val="22"/>
              <w:szCs w:val="22"/>
              <w:lang w:eastAsia="hu-HU"/>
            </w:rPr>
            <w:t>Budafok-Tétény Budapest XXII. kerületi Önkormányzat</w:t>
          </w:r>
        </w:p>
        <w:p w14:paraId="072E83AD" w14:textId="77777777" w:rsidR="00CF5AF0" w:rsidRPr="00D02E8B" w:rsidRDefault="00CF5AF0" w:rsidP="00CF5AF0">
          <w:pPr>
            <w:spacing w:before="0" w:after="0" w:line="240" w:lineRule="auto"/>
            <w:rPr>
              <w:rFonts w:ascii="Hiroshige ATT" w:eastAsia="Times New Roman" w:hAnsi="Hiroshige ATT" w:cs="Times New Roman"/>
              <w:b/>
              <w:i/>
              <w:sz w:val="22"/>
              <w:szCs w:val="22"/>
              <w:lang w:eastAsia="hu-HU"/>
            </w:rPr>
          </w:pPr>
          <w:r w:rsidRPr="00D02E8B">
            <w:rPr>
              <w:rFonts w:ascii="Hiroshige ATT" w:eastAsia="Times New Roman" w:hAnsi="Hiroshige ATT" w:cs="Times New Roman"/>
              <w:b/>
              <w:i/>
              <w:sz w:val="22"/>
              <w:szCs w:val="22"/>
              <w:lang w:eastAsia="hu-HU"/>
            </w:rPr>
            <w:t>Intézmények Gazdasági Irodája</w:t>
          </w:r>
        </w:p>
        <w:p w14:paraId="1E7E3826" w14:textId="77777777" w:rsidR="00CF5AF0" w:rsidRPr="00D02E8B" w:rsidRDefault="00CF5AF0" w:rsidP="00CF5AF0">
          <w:pPr>
            <w:spacing w:before="0" w:after="0" w:line="240" w:lineRule="auto"/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</w:pPr>
          <w:r w:rsidRPr="00D02E8B"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  <w:t>1225 Budapest, Nagytétényi u. 274-276.</w:t>
          </w:r>
        </w:p>
        <w:p w14:paraId="6B3CDB66" w14:textId="77777777" w:rsidR="00CF5AF0" w:rsidRPr="00D02E8B" w:rsidRDefault="00CF5AF0" w:rsidP="00CF5AF0">
          <w:pPr>
            <w:spacing w:before="0" w:after="0" w:line="240" w:lineRule="auto"/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</w:pPr>
          <w:r w:rsidRPr="00D02E8B"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  <w:t>Telefon: 229-2650, Fax: 229-2648</w:t>
          </w:r>
        </w:p>
        <w:p w14:paraId="18B9D0D8" w14:textId="69DD0ADA" w:rsidR="00CF5AF0" w:rsidRPr="007C155B" w:rsidRDefault="00CF5AF0" w:rsidP="00CF5AF0">
          <w:pPr>
            <w:spacing w:before="0" w:after="0" w:line="240" w:lineRule="auto"/>
            <w:rPr>
              <w:rFonts w:ascii="Hiroshige ATT" w:eastAsia="Times New Roman" w:hAnsi="Hiroshige ATT" w:cs="Times New Roman"/>
              <w:lang w:eastAsia="hu-HU"/>
            </w:rPr>
          </w:pPr>
          <w:r w:rsidRPr="00D02E8B"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  <w:t xml:space="preserve">e-mail: </w:t>
          </w:r>
          <w:r w:rsidR="00D95038" w:rsidRPr="00D02E8B"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  <w:t>titkarsag@igi22</w:t>
          </w:r>
          <w:r w:rsidRPr="00D02E8B">
            <w:rPr>
              <w:rFonts w:ascii="Hiroshige ATT" w:eastAsia="Times New Roman" w:hAnsi="Hiroshige ATT" w:cs="Times New Roman"/>
              <w:i/>
              <w:sz w:val="22"/>
              <w:szCs w:val="22"/>
              <w:lang w:eastAsia="hu-HU"/>
            </w:rPr>
            <w:t>.hu</w:t>
          </w:r>
        </w:p>
      </w:tc>
    </w:tr>
  </w:tbl>
  <w:p w14:paraId="1E1F21D4" w14:textId="5D8C66FB" w:rsidR="00F2319B" w:rsidRPr="00CF5AF0" w:rsidRDefault="00F2319B" w:rsidP="00CF5A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45E1"/>
    <w:multiLevelType w:val="hybridMultilevel"/>
    <w:tmpl w:val="D6283482"/>
    <w:lvl w:ilvl="0" w:tplc="55949A82">
      <w:start w:val="21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26CD"/>
    <w:multiLevelType w:val="hybridMultilevel"/>
    <w:tmpl w:val="7DC69EDA"/>
    <w:lvl w:ilvl="0" w:tplc="D3AABA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83413">
    <w:abstractNumId w:val="0"/>
  </w:num>
  <w:num w:numId="2" w16cid:durableId="3272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78"/>
    <w:rsid w:val="000364B8"/>
    <w:rsid w:val="0009486E"/>
    <w:rsid w:val="000A2FB7"/>
    <w:rsid w:val="000F5F63"/>
    <w:rsid w:val="00113543"/>
    <w:rsid w:val="00190328"/>
    <w:rsid w:val="001C16E2"/>
    <w:rsid w:val="00232A4F"/>
    <w:rsid w:val="002929DC"/>
    <w:rsid w:val="002A0365"/>
    <w:rsid w:val="002D7678"/>
    <w:rsid w:val="00316520"/>
    <w:rsid w:val="003E10AC"/>
    <w:rsid w:val="00447B1A"/>
    <w:rsid w:val="0045195D"/>
    <w:rsid w:val="00470AAD"/>
    <w:rsid w:val="00473B04"/>
    <w:rsid w:val="00477A6D"/>
    <w:rsid w:val="004A1971"/>
    <w:rsid w:val="004D47E8"/>
    <w:rsid w:val="0056208F"/>
    <w:rsid w:val="005A1B54"/>
    <w:rsid w:val="005D4725"/>
    <w:rsid w:val="005D4DB7"/>
    <w:rsid w:val="005F6C69"/>
    <w:rsid w:val="00621909"/>
    <w:rsid w:val="0069598D"/>
    <w:rsid w:val="007062E8"/>
    <w:rsid w:val="0071480B"/>
    <w:rsid w:val="007A3289"/>
    <w:rsid w:val="007C155B"/>
    <w:rsid w:val="00826432"/>
    <w:rsid w:val="008A3F45"/>
    <w:rsid w:val="008A6D39"/>
    <w:rsid w:val="0090397A"/>
    <w:rsid w:val="009159D7"/>
    <w:rsid w:val="00933312"/>
    <w:rsid w:val="0095591E"/>
    <w:rsid w:val="009729B7"/>
    <w:rsid w:val="009D477B"/>
    <w:rsid w:val="00A5385D"/>
    <w:rsid w:val="00A57383"/>
    <w:rsid w:val="00B05372"/>
    <w:rsid w:val="00C27384"/>
    <w:rsid w:val="00C50D7D"/>
    <w:rsid w:val="00CF5AF0"/>
    <w:rsid w:val="00D02E8B"/>
    <w:rsid w:val="00D62DDE"/>
    <w:rsid w:val="00D95038"/>
    <w:rsid w:val="00DD775B"/>
    <w:rsid w:val="00E12019"/>
    <w:rsid w:val="00E1378C"/>
    <w:rsid w:val="00E73D72"/>
    <w:rsid w:val="00F2319B"/>
    <w:rsid w:val="00F61DFA"/>
    <w:rsid w:val="00F9471E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F13A83"/>
  <w15:chartTrackingRefBased/>
  <w15:docId w15:val="{70690A7A-0666-47A7-89E9-1E11E1C0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767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D76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7678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7678"/>
    <w:rPr>
      <w:rFonts w:eastAsiaTheme="minorEastAsi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6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678"/>
    <w:rPr>
      <w:rFonts w:ascii="Segoe UI" w:eastAsiaTheme="minorEastAsia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D7678"/>
    <w:pPr>
      <w:spacing w:after="0" w:line="240" w:lineRule="auto"/>
    </w:pPr>
    <w:rPr>
      <w:rFonts w:eastAsiaTheme="minorEastAsi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231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19B"/>
    <w:rPr>
      <w:rFonts w:eastAsiaTheme="minorEastAsia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F231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19B"/>
    <w:rPr>
      <w:rFonts w:eastAsiaTheme="minorEastAsia"/>
      <w:sz w:val="20"/>
      <w:szCs w:val="20"/>
    </w:rPr>
  </w:style>
  <w:style w:type="character" w:styleId="Hiperhivatkozs">
    <w:name w:val="Hyperlink"/>
    <w:rsid w:val="00F231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27384"/>
    <w:pPr>
      <w:ind w:left="720"/>
      <w:contextualSpacing/>
    </w:pPr>
  </w:style>
  <w:style w:type="paragraph" w:customStyle="1" w:styleId="Textbody">
    <w:name w:val="Text body"/>
    <w:basedOn w:val="Norml"/>
    <w:rsid w:val="00232A4F"/>
    <w:pPr>
      <w:suppressAutoHyphens/>
      <w:spacing w:after="140" w:line="288" w:lineRule="auto"/>
    </w:pPr>
    <w:rPr>
      <w:lang w:eastAsia="zh-CN" w:bidi="hi-IN"/>
    </w:rPr>
  </w:style>
  <w:style w:type="character" w:styleId="Knyvcme">
    <w:name w:val="Book Title"/>
    <w:uiPriority w:val="33"/>
    <w:qFormat/>
    <w:rsid w:val="00232A4F"/>
    <w:rPr>
      <w:b/>
      <w:bCs/>
      <w:i/>
      <w:iCs/>
      <w:spacing w:val="0"/>
    </w:rPr>
  </w:style>
  <w:style w:type="paragraph" w:styleId="Szvegtrzs">
    <w:name w:val="Body Text"/>
    <w:basedOn w:val="Norml"/>
    <w:link w:val="SzvegtrzsChar"/>
    <w:uiPriority w:val="1"/>
    <w:qFormat/>
    <w:rsid w:val="00232A4F"/>
    <w:pPr>
      <w:widowControl w:val="0"/>
      <w:autoSpaceDE w:val="0"/>
      <w:autoSpaceDN w:val="0"/>
      <w:spacing w:before="0" w:after="0" w:line="240" w:lineRule="auto"/>
      <w:ind w:left="1496"/>
    </w:pPr>
    <w:rPr>
      <w:rFonts w:ascii="Palatino Linotype" w:eastAsia="Palatino Linotype" w:hAnsi="Palatino Linotype" w:cs="Palatino Linotype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32A4F"/>
    <w:rPr>
      <w:rFonts w:ascii="Palatino Linotype" w:eastAsia="Palatino Linotype" w:hAnsi="Palatino Linotype" w:cs="Palatino Linotype"/>
      <w:sz w:val="24"/>
      <w:szCs w:val="24"/>
      <w:lang w:eastAsia="hu-HU" w:bidi="hu-HU"/>
    </w:rPr>
  </w:style>
  <w:style w:type="table" w:styleId="Rcsostblzat">
    <w:name w:val="Table Grid"/>
    <w:basedOn w:val="Normltblzat"/>
    <w:uiPriority w:val="39"/>
    <w:rsid w:val="001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33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331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A5B9-773B-4AC4-B069-87B32D6A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Acer_VCSGYK13</dc:creator>
  <cp:keywords/>
  <dc:description/>
  <cp:lastModifiedBy>Babiczky Márta</cp:lastModifiedBy>
  <cp:revision>3</cp:revision>
  <cp:lastPrinted>2022-10-17T09:23:00Z</cp:lastPrinted>
  <dcterms:created xsi:type="dcterms:W3CDTF">2023-03-06T10:56:00Z</dcterms:created>
  <dcterms:modified xsi:type="dcterms:W3CDTF">2023-03-06T10:56:00Z</dcterms:modified>
</cp:coreProperties>
</file>